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E9" w:rsidRDefault="00906DE9">
      <w:pPr>
        <w:spacing w:after="0"/>
      </w:pPr>
      <w:bookmarkStart w:id="0" w:name="_GoBack"/>
      <w:bookmarkEnd w:id="0"/>
    </w:p>
    <w:tbl>
      <w:tblPr>
        <w:tblStyle w:val="a"/>
        <w:tblW w:w="133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1"/>
        <w:gridCol w:w="3411"/>
        <w:gridCol w:w="2543"/>
        <w:gridCol w:w="4448"/>
      </w:tblGrid>
      <w:tr w:rsidR="00906DE9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906DE9" w:rsidRDefault="00906D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06DE9" w:rsidRDefault="00844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04/05/2020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906DE9" w:rsidRDefault="00844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Mayo-Agosto</w:t>
            </w:r>
          </w:p>
        </w:tc>
      </w:tr>
    </w:tbl>
    <w:p w:rsidR="00906DE9" w:rsidRDefault="00906DE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14"/>
          <w:szCs w:val="14"/>
        </w:rPr>
      </w:pPr>
    </w:p>
    <w:tbl>
      <w:tblPr>
        <w:tblStyle w:val="a0"/>
        <w:tblW w:w="13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097"/>
        <w:gridCol w:w="5736"/>
        <w:gridCol w:w="4400"/>
      </w:tblGrid>
      <w:tr w:rsidR="00906DE9">
        <w:trPr>
          <w:trHeight w:val="262"/>
        </w:trPr>
        <w:tc>
          <w:tcPr>
            <w:tcW w:w="13331" w:type="dxa"/>
            <w:gridSpan w:val="4"/>
            <w:shd w:val="clear" w:color="auto" w:fill="C5E0B3"/>
          </w:tcPr>
          <w:p w:rsidR="00906DE9" w:rsidRDefault="00844B0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t xml:space="preserve">         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I. Información General</w:t>
            </w:r>
          </w:p>
        </w:tc>
      </w:tr>
      <w:tr w:rsidR="00906DE9">
        <w:trPr>
          <w:trHeight w:val="282"/>
        </w:trPr>
        <w:tc>
          <w:tcPr>
            <w:tcW w:w="3195" w:type="dxa"/>
            <w:gridSpan w:val="2"/>
          </w:tcPr>
          <w:p w:rsidR="00906DE9" w:rsidRDefault="00844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:rsidR="00906DE9" w:rsidRDefault="00844B07">
            <w:pPr>
              <w:tabs>
                <w:tab w:val="center" w:pos="4960"/>
                <w:tab w:val="left" w:pos="5400"/>
              </w:tabs>
            </w:pPr>
            <w:r>
              <w:rPr>
                <w:sz w:val="18"/>
                <w:szCs w:val="18"/>
              </w:rPr>
              <w:t>TSU en Desarrollo de Negocios: área Mercadotecnia</w:t>
            </w:r>
            <w:r>
              <w:tab/>
            </w:r>
          </w:p>
          <w:p w:rsidR="00906DE9" w:rsidRDefault="00844B07">
            <w:pPr>
              <w:tabs>
                <w:tab w:val="center" w:pos="4960"/>
                <w:tab w:val="left" w:pos="5400"/>
              </w:tabs>
            </w:pPr>
            <w:r>
              <w:t xml:space="preserve">TSU EN TECNOLOGÍAS DE LA INFORMACIÓN </w:t>
            </w:r>
            <w:r>
              <w:tab/>
            </w:r>
          </w:p>
          <w:p w:rsidR="00906DE9" w:rsidRDefault="00844B07">
            <w:pPr>
              <w:tabs>
                <w:tab w:val="center" w:pos="4960"/>
                <w:tab w:val="left" w:pos="5400"/>
              </w:tabs>
              <w:rPr>
                <w:sz w:val="18"/>
                <w:szCs w:val="18"/>
              </w:rPr>
            </w:pPr>
            <w:r>
              <w:t>TSU EN PROCESOS INDUSTRIALES</w:t>
            </w:r>
          </w:p>
        </w:tc>
      </w:tr>
      <w:tr w:rsidR="00906DE9">
        <w:trPr>
          <w:trHeight w:val="218"/>
        </w:trPr>
        <w:tc>
          <w:tcPr>
            <w:tcW w:w="8931" w:type="dxa"/>
            <w:gridSpan w:val="3"/>
          </w:tcPr>
          <w:p w:rsidR="00906DE9" w:rsidRDefault="00844B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 la Asignatura:  INGLÉS V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00" w:type="dxa"/>
          </w:tcPr>
          <w:p w:rsidR="00906DE9" w:rsidRDefault="00844B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6DE9">
        <w:trPr>
          <w:trHeight w:val="205"/>
        </w:trPr>
        <w:tc>
          <w:tcPr>
            <w:tcW w:w="2098" w:type="dxa"/>
          </w:tcPr>
          <w:p w:rsidR="00906DE9" w:rsidRDefault="00844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Cuatrimestre:  </w:t>
            </w:r>
          </w:p>
        </w:tc>
        <w:tc>
          <w:tcPr>
            <w:tcW w:w="11233" w:type="dxa"/>
            <w:gridSpan w:val="3"/>
          </w:tcPr>
          <w:p w:rsidR="00906DE9" w:rsidRDefault="00844B0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5º.</w:t>
            </w:r>
          </w:p>
        </w:tc>
      </w:tr>
      <w:tr w:rsidR="00906DE9">
        <w:trPr>
          <w:trHeight w:val="218"/>
        </w:trPr>
        <w:tc>
          <w:tcPr>
            <w:tcW w:w="13331" w:type="dxa"/>
            <w:gridSpan w:val="4"/>
          </w:tcPr>
          <w:p w:rsidR="00906DE9" w:rsidRDefault="00844B0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Nombre del Docente:   OMAR LOPEZ LIRA</w:t>
            </w:r>
          </w:p>
        </w:tc>
      </w:tr>
    </w:tbl>
    <w:p w:rsidR="00906DE9" w:rsidRDefault="00844B07">
      <w:pPr>
        <w:spacing w:after="0"/>
      </w:pPr>
      <w:r>
        <w:rPr>
          <w:b/>
        </w:rPr>
        <w:t xml:space="preserve">PLANEACIÓN Y EVALUACIÓN </w:t>
      </w:r>
    </w:p>
    <w:tbl>
      <w:tblPr>
        <w:tblStyle w:val="a1"/>
        <w:tblW w:w="13763" w:type="dxa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906DE9">
        <w:trPr>
          <w:trHeight w:val="100"/>
        </w:trPr>
        <w:tc>
          <w:tcPr>
            <w:tcW w:w="1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III. Planeación por tema / sesión</w:t>
            </w:r>
          </w:p>
        </w:tc>
      </w:tr>
      <w:tr w:rsidR="00906DE9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06DE9" w:rsidRDefault="00844B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Ponderación</w:t>
            </w:r>
          </w:p>
        </w:tc>
      </w:tr>
      <w:tr w:rsidR="00906DE9">
        <w:trPr>
          <w:trHeight w:val="484"/>
        </w:trPr>
        <w:tc>
          <w:tcPr>
            <w:tcW w:w="1687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06DE9" w:rsidRDefault="0090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906DE9">
        <w:trPr>
          <w:trHeight w:val="3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UNIT 5 THE ENVIRONMENT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Palabras relacionadas con “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</w:t>
            </w:r>
            <w:proofErr w:type="spellEnd"/>
            <w:r>
              <w:rPr>
                <w:color w:val="000000"/>
                <w:sz w:val="18"/>
                <w:szCs w:val="18"/>
              </w:rPr>
              <w:t>”.</w:t>
            </w:r>
          </w:p>
          <w:p w:rsidR="00906DE9" w:rsidRPr="000D3E8C" w:rsidRDefault="00844B07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  <w:r w:rsidRPr="000D3E8C">
              <w:rPr>
                <w:color w:val="000000"/>
                <w:sz w:val="18"/>
                <w:szCs w:val="18"/>
                <w:lang w:val="fr-FR"/>
              </w:rPr>
              <w:t>- “Word formation, prepositions, phrasal verbs”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1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be </w:t>
            </w:r>
            <w:proofErr w:type="spellStart"/>
            <w:r>
              <w:rPr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2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time </w:t>
            </w:r>
            <w:proofErr w:type="spellStart"/>
            <w:r>
              <w:rPr>
                <w:color w:val="000000"/>
                <w:sz w:val="18"/>
                <w:szCs w:val="18"/>
              </w:rPr>
              <w:t>expressions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Realizar lectura de la página 58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contestar los ejercicios de la misma página.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 4 de la página 59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color w:val="000000"/>
                <w:sz w:val="18"/>
                <w:szCs w:val="18"/>
              </w:rPr>
              <w:t>matching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correct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paragraph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 5 de la página 59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 xml:space="preserve">complete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sentences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given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 1 de la página 60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relacionado con el vocabulario de “</w:t>
            </w:r>
            <w:proofErr w:type="spellStart"/>
            <w:r>
              <w:rPr>
                <w:color w:val="000000"/>
                <w:sz w:val="18"/>
                <w:szCs w:val="18"/>
              </w:rPr>
              <w:t>words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related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</w:t>
            </w:r>
            <w:proofErr w:type="spellEnd"/>
            <w:r>
              <w:rPr>
                <w:color w:val="000000"/>
                <w:sz w:val="18"/>
                <w:szCs w:val="18"/>
              </w:rPr>
              <w:t>”.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el ejercicio 2 de la página 60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(complete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sent</w:t>
            </w:r>
            <w:r>
              <w:rPr>
                <w:color w:val="000000"/>
                <w:sz w:val="18"/>
                <w:szCs w:val="18"/>
              </w:rPr>
              <w:t>ences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missing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vowels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 3 de la página 60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(Match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phrases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exercise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disasters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  <w:szCs w:val="18"/>
              </w:rPr>
              <w:t>exercise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1)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 4 de la página 60 (complete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exercise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</w:t>
            </w:r>
            <w:r>
              <w:rPr>
                <w:color w:val="000000"/>
                <w:sz w:val="18"/>
                <w:szCs w:val="18"/>
              </w:rPr>
              <w:t>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given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Leer información en la página 61 acerca de la explicación de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should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be </w:t>
            </w:r>
            <w:proofErr w:type="spellStart"/>
            <w:r>
              <w:rPr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” para más información checar el link de la explicación de la gramática. 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Contestar ejercicio 2 de la página 61.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 3 de la página 61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acerca de la gramática aprendida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páginas 35, 36 y 37 del </w:t>
            </w:r>
            <w:proofErr w:type="spellStart"/>
            <w:r>
              <w:rPr>
                <w:color w:val="000000"/>
                <w:sz w:val="18"/>
                <w:szCs w:val="18"/>
              </w:rPr>
              <w:t>workbook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como practica extra de lo aprendido en 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Diccionario en línea: Wordreference.com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American </w:t>
            </w:r>
            <w:proofErr w:type="spellStart"/>
            <w:r>
              <w:rPr>
                <w:color w:val="000000"/>
                <w:sz w:val="18"/>
                <w:szCs w:val="18"/>
              </w:rPr>
              <w:t>Dow</w:t>
            </w:r>
            <w:r>
              <w:rPr>
                <w:color w:val="000000"/>
                <w:sz w:val="18"/>
                <w:szCs w:val="18"/>
              </w:rPr>
              <w:t>nload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Elizabeth Gordon, Liz </w:t>
            </w:r>
            <w:proofErr w:type="spellStart"/>
            <w:r>
              <w:rPr>
                <w:color w:val="000000"/>
                <w:sz w:val="18"/>
                <w:szCs w:val="18"/>
              </w:rPr>
              <w:t>Hammond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Philip James, Liz </w:t>
            </w:r>
            <w:proofErr w:type="spellStart"/>
            <w:r>
              <w:rPr>
                <w:color w:val="000000"/>
                <w:sz w:val="18"/>
                <w:szCs w:val="18"/>
              </w:rPr>
              <w:t>Stolls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Hamilton </w:t>
            </w:r>
            <w:proofErr w:type="spellStart"/>
            <w:r>
              <w:rPr>
                <w:color w:val="000000"/>
                <w:sz w:val="18"/>
                <w:szCs w:val="18"/>
              </w:rPr>
              <w:t>House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color w:val="000000"/>
                <w:sz w:val="18"/>
                <w:szCs w:val="18"/>
              </w:rPr>
              <w:t>workbook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Link relacionado con el vocabulario de “natural </w:t>
            </w:r>
            <w:proofErr w:type="spellStart"/>
            <w:r>
              <w:rPr>
                <w:color w:val="000000"/>
                <w:sz w:val="18"/>
                <w:szCs w:val="18"/>
              </w:rPr>
              <w:t>disasters</w:t>
            </w:r>
            <w:proofErr w:type="spellEnd"/>
            <w:r>
              <w:rPr>
                <w:color w:val="000000"/>
                <w:sz w:val="18"/>
                <w:szCs w:val="18"/>
              </w:rPr>
              <w:t>”: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">
              <w:r>
                <w:rPr>
                  <w:color w:val="0000FF"/>
                  <w:u w:val="single"/>
                </w:rPr>
                <w:t>https://ww</w:t>
              </w:r>
              <w:r>
                <w:rPr>
                  <w:color w:val="0000FF"/>
                  <w:u w:val="single"/>
                </w:rPr>
                <w:t>w.youtube.com/watch?v=6p26O_GvX0I</w:t>
              </w:r>
            </w:hyperlink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 los siguiente links para la explicación de la gramáticas  de « 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be </w:t>
            </w:r>
            <w:proofErr w:type="spellStart"/>
            <w:r>
              <w:rPr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should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> » :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</w:pPr>
            <w:hyperlink r:id="rId7">
              <w:r>
                <w:rPr>
                  <w:color w:val="0000FF"/>
                  <w:u w:val="single"/>
                </w:rPr>
                <w:t>https://www.engvid.com/will-or-going-to/</w:t>
              </w:r>
            </w:hyperlink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</w:pPr>
            <w:hyperlink r:id="rId8">
              <w:r>
                <w:rPr>
                  <w:color w:val="0000FF"/>
                  <w:u w:val="single"/>
                </w:rPr>
                <w:t>https://www.engvid.com/future-continuous/</w:t>
              </w:r>
            </w:hyperlink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</w:pPr>
            <w:hyperlink r:id="rId9">
              <w:r>
                <w:rPr>
                  <w:color w:val="0000FF"/>
                  <w:u w:val="single"/>
                </w:rPr>
                <w:t>https://www.engvid.com/auxiliary-verb-should/</w:t>
              </w:r>
            </w:hyperlink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Link para práctica en línea de “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be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”</w:t>
            </w:r>
          </w:p>
          <w:p w:rsidR="00906DE9" w:rsidRDefault="00844B07">
            <w:pPr>
              <w:spacing w:after="0" w:line="240" w:lineRule="auto"/>
            </w:pPr>
            <w:hyperlink r:id="rId10">
              <w:r>
                <w:rPr>
                  <w:color w:val="0000FF"/>
                  <w:u w:val="single"/>
                </w:rPr>
                <w:t>https://es.liveworksheets.com/worksheets/en/English_as_a_Se</w:t>
              </w:r>
              <w:r>
                <w:rPr>
                  <w:color w:val="0000FF"/>
                  <w:u w:val="single"/>
                </w:rPr>
                <w:t>cond_Language_(ESL)/Future_plans/Will_and_be_going_to_ty262671km</w:t>
              </w:r>
            </w:hyperlink>
          </w:p>
          <w:p w:rsidR="00906DE9" w:rsidRDefault="00906DE9">
            <w:pPr>
              <w:spacing w:after="0" w:line="240" w:lineRule="auto"/>
            </w:pPr>
          </w:p>
          <w:p w:rsidR="00906DE9" w:rsidRDefault="00906DE9">
            <w:pPr>
              <w:spacing w:after="0" w:line="240" w:lineRule="auto"/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Classroom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Whats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app</w:t>
            </w:r>
            <w:proofErr w:type="spellEnd"/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zoom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 los escaneos de las paginas contestadas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Video o mensaje de voz para evidencia de </w:t>
            </w:r>
            <w:proofErr w:type="spellStart"/>
            <w:r>
              <w:rPr>
                <w:color w:val="000000"/>
                <w:sz w:val="18"/>
                <w:szCs w:val="18"/>
              </w:rPr>
              <w:t>speaking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 de entrega: 12 de junio del 2020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Haga </w:t>
            </w:r>
            <w:r>
              <w:rPr>
                <w:color w:val="808080"/>
                <w:sz w:val="18"/>
                <w:szCs w:val="18"/>
              </w:rPr>
              <w:t>clic o pulse aquí para escribir texto.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SPEAKING: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06DE9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UNIT 5 THE ENVIRONMENT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Palabras relacionadas con “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</w:t>
            </w:r>
            <w:proofErr w:type="spellEnd"/>
            <w:r>
              <w:rPr>
                <w:color w:val="000000"/>
                <w:sz w:val="18"/>
                <w:szCs w:val="18"/>
              </w:rPr>
              <w:t>”.</w:t>
            </w:r>
          </w:p>
          <w:p w:rsidR="00906DE9" w:rsidRPr="000D3E8C" w:rsidRDefault="00844B07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  <w:r w:rsidRPr="000D3E8C">
              <w:rPr>
                <w:color w:val="000000"/>
                <w:sz w:val="18"/>
                <w:szCs w:val="18"/>
                <w:lang w:val="fr-FR"/>
              </w:rPr>
              <w:t>- “Word formation, prepositions, phrasal verbs”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1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be </w:t>
            </w:r>
            <w:proofErr w:type="spellStart"/>
            <w:r>
              <w:rPr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2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time </w:t>
            </w:r>
            <w:proofErr w:type="spellStart"/>
            <w:r>
              <w:rPr>
                <w:color w:val="000000"/>
                <w:sz w:val="18"/>
                <w:szCs w:val="18"/>
              </w:rPr>
              <w:t>expressions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Contestar página 62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relativo a vocabulario: “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formation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prepositions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phrasal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verbs</w:t>
            </w:r>
            <w:proofErr w:type="spellEnd"/>
            <w:r>
              <w:rPr>
                <w:color w:val="000000"/>
                <w:sz w:val="18"/>
                <w:szCs w:val="18"/>
              </w:rPr>
              <w:t>, ”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Leer información en la página 63 acerca de la explicación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”  para más información </w:t>
            </w:r>
            <w:r>
              <w:rPr>
                <w:color w:val="000000"/>
                <w:sz w:val="18"/>
                <w:szCs w:val="18"/>
              </w:rPr>
              <w:lastRenderedPageBreak/>
              <w:t>checar el link de la explicación de la gra</w:t>
            </w:r>
            <w:r>
              <w:rPr>
                <w:color w:val="000000"/>
                <w:sz w:val="18"/>
                <w:szCs w:val="18"/>
              </w:rPr>
              <w:t xml:space="preserve">mática. 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ejercicios 2, 3 y 4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página 63.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páginas 38 y 39  del </w:t>
            </w:r>
            <w:proofErr w:type="spellStart"/>
            <w:r>
              <w:rPr>
                <w:color w:val="000000"/>
                <w:sz w:val="18"/>
                <w:szCs w:val="18"/>
              </w:rPr>
              <w:t>workbook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como practica extra de lo aprendido en 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 los siguiente links para la explicación de la gramáticas  de « 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>» :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</w:pPr>
            <w:hyperlink r:id="rId11">
              <w:r>
                <w:rPr>
                  <w:color w:val="0000FF"/>
                  <w:u w:val="single"/>
                </w:rPr>
                <w:t>https://www.youtube.com/watch?v=P49K58qABb0</w:t>
              </w:r>
            </w:hyperlink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</w:pPr>
            <w:hyperlink r:id="rId12">
              <w:r>
                <w:rPr>
                  <w:color w:val="0000FF"/>
                  <w:u w:val="single"/>
                </w:rPr>
                <w:t>https://www.youtube.com/watch?v=pK9UPDqY6gc</w:t>
              </w:r>
            </w:hyperlink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</w:pPr>
            <w:r>
              <w:t>Link para práctica en línea:</w:t>
            </w:r>
          </w:p>
          <w:p w:rsidR="00906DE9" w:rsidRDefault="00844B07">
            <w:pPr>
              <w:spacing w:after="0" w:line="240" w:lineRule="auto"/>
            </w:pPr>
            <w:hyperlink r:id="rId13">
              <w:r>
                <w:rPr>
                  <w:color w:val="0000FF"/>
                  <w:u w:val="single"/>
                </w:rPr>
                <w:t>https://es.liveworksheets.com/worksheets/en/English_as_a_Second_Language_(ESL)/Future_Continuous_or_Future_Perfect/Future_Continuous_and_Future_Perfect_ah22748hb</w:t>
              </w:r>
            </w:hyperlink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</w:pPr>
            <w:r>
              <w:t xml:space="preserve">Link para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spellStart"/>
            <w:r>
              <w:t>transformation</w:t>
            </w:r>
            <w:proofErr w:type="spellEnd"/>
            <w:r>
              <w:t> :</w:t>
            </w:r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</w:pPr>
            <w:hyperlink r:id="rId14">
              <w:r>
                <w:rPr>
                  <w:color w:val="0000FF"/>
                  <w:u w:val="single"/>
                </w:rPr>
                <w:t>https://www.wordhippo.com/what-is/the-verb-for/health.html</w:t>
              </w:r>
            </w:hyperlink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</w:pPr>
            <w:r>
              <w:t>Diccionario en línea:</w:t>
            </w:r>
          </w:p>
          <w:p w:rsidR="00906DE9" w:rsidRDefault="00844B07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:rsidR="00906DE9" w:rsidRDefault="00906DE9">
            <w:pPr>
              <w:spacing w:after="0" w:line="240" w:lineRule="auto"/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American </w:t>
            </w:r>
            <w:proofErr w:type="spellStart"/>
            <w:r>
              <w:rPr>
                <w:color w:val="000000"/>
                <w:sz w:val="18"/>
                <w:szCs w:val="18"/>
              </w:rPr>
              <w:t>Download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Elizabeth Gordon, Liz </w:t>
            </w:r>
            <w:proofErr w:type="spellStart"/>
            <w:r>
              <w:rPr>
                <w:color w:val="000000"/>
                <w:sz w:val="18"/>
                <w:szCs w:val="18"/>
              </w:rPr>
              <w:t>Hammond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Philip James, Liz </w:t>
            </w:r>
            <w:proofErr w:type="spellStart"/>
            <w:r>
              <w:rPr>
                <w:color w:val="000000"/>
                <w:sz w:val="18"/>
                <w:szCs w:val="18"/>
              </w:rPr>
              <w:t>Stolls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Hamilton </w:t>
            </w:r>
            <w:proofErr w:type="spellStart"/>
            <w:r>
              <w:rPr>
                <w:color w:val="000000"/>
                <w:sz w:val="18"/>
                <w:szCs w:val="18"/>
              </w:rPr>
              <w:t>House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workbook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</w:pPr>
          </w:p>
          <w:p w:rsidR="00906DE9" w:rsidRDefault="00906DE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Classroom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Whats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app</w:t>
            </w:r>
            <w:proofErr w:type="spellEnd"/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zoom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 los escaneos de las paginas contestadas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Video o mensaje de voz para evidencia de </w:t>
            </w:r>
            <w:proofErr w:type="spellStart"/>
            <w:r>
              <w:rPr>
                <w:color w:val="000000"/>
                <w:sz w:val="18"/>
                <w:szCs w:val="18"/>
              </w:rPr>
              <w:t>speaking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Fecha de entrega: 19 de </w:t>
            </w:r>
            <w:proofErr w:type="spellStart"/>
            <w:r>
              <w:rPr>
                <w:color w:val="000000"/>
                <w:sz w:val="18"/>
                <w:szCs w:val="18"/>
              </w:rPr>
              <w:t>jumio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del 2020</w:t>
            </w:r>
          </w:p>
          <w:p w:rsidR="00906DE9" w:rsidRDefault="00906D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SPEAKING: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6DE9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UNIT 5 THE ENVIRONMENT</w:t>
            </w: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Palabras relacionadas con “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</w:t>
            </w:r>
            <w:proofErr w:type="spellEnd"/>
            <w:r>
              <w:rPr>
                <w:color w:val="000000"/>
                <w:sz w:val="18"/>
                <w:szCs w:val="18"/>
              </w:rPr>
              <w:t>”.</w:t>
            </w:r>
          </w:p>
          <w:p w:rsidR="00906DE9" w:rsidRPr="000D3E8C" w:rsidRDefault="00844B07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  <w:r w:rsidRPr="000D3E8C">
              <w:rPr>
                <w:color w:val="000000"/>
                <w:sz w:val="18"/>
                <w:szCs w:val="18"/>
                <w:lang w:val="fr-FR"/>
              </w:rPr>
              <w:t>- “Word formation, prepositions, phrasal verbs”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Gramática 1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be </w:t>
            </w:r>
            <w:proofErr w:type="spellStart"/>
            <w:r>
              <w:rPr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2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time </w:t>
            </w:r>
            <w:proofErr w:type="spellStart"/>
            <w:r>
              <w:rPr>
                <w:color w:val="000000"/>
                <w:sz w:val="18"/>
                <w:szCs w:val="18"/>
              </w:rPr>
              <w:t>expressions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página 64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relativo a </w:t>
            </w:r>
            <w:proofErr w:type="spellStart"/>
            <w:r>
              <w:rPr>
                <w:color w:val="000000"/>
                <w:sz w:val="18"/>
                <w:szCs w:val="18"/>
              </w:rPr>
              <w:t>listening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Contestar página 65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relativo a la habilidad de </w:t>
            </w:r>
            <w:proofErr w:type="spellStart"/>
            <w:r>
              <w:rPr>
                <w:color w:val="000000"/>
                <w:sz w:val="18"/>
                <w:szCs w:val="18"/>
              </w:rPr>
              <w:t>speaking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Pr="000D3E8C" w:rsidRDefault="00844B07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 xml:space="preserve">- Realizar un video donde los alumnos expongan su opinión acerca de las siguientes preguntas: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more </w:t>
            </w:r>
            <w:proofErr w:type="spellStart"/>
            <w:r>
              <w:rPr>
                <w:color w:val="000000"/>
                <w:sz w:val="18"/>
                <w:szCs w:val="18"/>
              </w:rPr>
              <w:t>important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try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prevent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global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problems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protect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your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local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? </w:t>
            </w:r>
            <w:r w:rsidRPr="000D3E8C">
              <w:rPr>
                <w:color w:val="000000"/>
                <w:sz w:val="18"/>
                <w:szCs w:val="18"/>
                <w:lang w:val="fr-FR"/>
              </w:rPr>
              <w:t xml:space="preserve">Do you think the quality of people’s local environment </w:t>
            </w:r>
            <w:r w:rsidRPr="000D3E8C">
              <w:rPr>
                <w:color w:val="000000"/>
                <w:sz w:val="18"/>
                <w:szCs w:val="18"/>
                <w:lang w:val="fr-FR"/>
              </w:rPr>
              <w:t xml:space="preserve">affects their behavior? What are the ways to encourage people to care about the environment? </w:t>
            </w:r>
          </w:p>
          <w:p w:rsidR="00906DE9" w:rsidRPr="000D3E8C" w:rsidRDefault="00906DE9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</w:p>
          <w:p w:rsidR="00906DE9" w:rsidRPr="000D3E8C" w:rsidRDefault="00906DE9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Pr="000D3E8C" w:rsidRDefault="00906DE9">
            <w:pPr>
              <w:spacing w:after="0" w:line="240" w:lineRule="auto"/>
              <w:rPr>
                <w:lang w:val="fr-FR"/>
              </w:rPr>
            </w:pPr>
          </w:p>
          <w:p w:rsidR="00906DE9" w:rsidRPr="000D3E8C" w:rsidRDefault="00844B07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  <w:r w:rsidRPr="000D3E8C">
              <w:rPr>
                <w:color w:val="000000"/>
                <w:sz w:val="18"/>
                <w:szCs w:val="18"/>
                <w:lang w:val="fr-FR"/>
              </w:rPr>
              <w:t>- American Download Students’ book, Elizabeth Gordon, Liz Hammond, Philip James, Liz Stolls, Hamilton House (students’ book and workbook)</w:t>
            </w:r>
          </w:p>
          <w:p w:rsidR="00906DE9" w:rsidRPr="000D3E8C" w:rsidRDefault="00906DE9">
            <w:pPr>
              <w:spacing w:after="0" w:line="240" w:lineRule="auto"/>
              <w:rPr>
                <w:lang w:val="fr-FR"/>
              </w:rPr>
            </w:pPr>
          </w:p>
          <w:p w:rsidR="00906DE9" w:rsidRDefault="00844B07">
            <w:pPr>
              <w:spacing w:after="0" w:line="240" w:lineRule="auto"/>
            </w:pPr>
            <w:r>
              <w:t>Diccionario en línea</w:t>
            </w:r>
            <w:r>
              <w:t>:</w:t>
            </w:r>
          </w:p>
          <w:p w:rsidR="00906DE9" w:rsidRDefault="00844B07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:rsidR="00906DE9" w:rsidRDefault="00844B0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t>Audios</w:t>
            </w: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Classroom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Whats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app</w:t>
            </w:r>
            <w:proofErr w:type="spellEnd"/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zoom</w:t>
            </w: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 los escaneos de las paginas contestadas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Video o mensaje de voz para evidencia de </w:t>
            </w:r>
            <w:proofErr w:type="spellStart"/>
            <w:r>
              <w:rPr>
                <w:color w:val="000000"/>
                <w:sz w:val="18"/>
                <w:szCs w:val="18"/>
              </w:rPr>
              <w:t>speaking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 de entrega: 26 de junio del 2020</w:t>
            </w: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SPEAKING: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906DE9" w:rsidRDefault="00906D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06DE9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UNIT 5 THE ENVIRONMENT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Palabras relacionadas con “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environment</w:t>
            </w:r>
            <w:proofErr w:type="spellEnd"/>
            <w:r>
              <w:rPr>
                <w:color w:val="000000"/>
                <w:sz w:val="18"/>
                <w:szCs w:val="18"/>
              </w:rPr>
              <w:t>”.</w:t>
            </w:r>
          </w:p>
          <w:p w:rsidR="00906DE9" w:rsidRPr="000D3E8C" w:rsidRDefault="00844B07">
            <w:pPr>
              <w:spacing w:after="0" w:line="240" w:lineRule="auto"/>
              <w:rPr>
                <w:color w:val="000000"/>
                <w:sz w:val="18"/>
                <w:szCs w:val="18"/>
                <w:lang w:val="fr-FR"/>
              </w:rPr>
            </w:pPr>
            <w:r w:rsidRPr="000D3E8C">
              <w:rPr>
                <w:color w:val="000000"/>
                <w:sz w:val="18"/>
                <w:szCs w:val="18"/>
                <w:lang w:val="fr-FR"/>
              </w:rPr>
              <w:t>- “Word formation, prepositions, phrasal verbs”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1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be </w:t>
            </w:r>
            <w:proofErr w:type="spellStart"/>
            <w:r>
              <w:rPr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Gramática 2 acerca de: “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future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continuous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time </w:t>
            </w:r>
            <w:proofErr w:type="spellStart"/>
            <w:r>
              <w:rPr>
                <w:color w:val="000000"/>
                <w:sz w:val="18"/>
                <w:szCs w:val="18"/>
              </w:rPr>
              <w:t>expressions</w:t>
            </w:r>
            <w:proofErr w:type="spellEnd"/>
            <w:r>
              <w:rPr>
                <w:color w:val="000000"/>
                <w:sz w:val="18"/>
                <w:szCs w:val="18"/>
              </w:rPr>
              <w:t>”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Contestar ejercicios de las páginas 66 y 67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relativo a la habilidad de </w:t>
            </w: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Escribir un ensayo (</w:t>
            </w:r>
            <w:proofErr w:type="spellStart"/>
            <w:r>
              <w:rPr>
                <w:color w:val="000000"/>
                <w:sz w:val="18"/>
                <w:szCs w:val="18"/>
              </w:rPr>
              <w:t>Essay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strong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color w:val="000000"/>
                <w:sz w:val="18"/>
                <w:szCs w:val="18"/>
              </w:rPr>
              <w:t>) usando l</w:t>
            </w:r>
            <w:r>
              <w:rPr>
                <w:color w:val="000000"/>
                <w:sz w:val="18"/>
                <w:szCs w:val="18"/>
              </w:rPr>
              <w:t xml:space="preserve">as instrucciones proporcionadas en el plan de trabajo en la página 67 ejercicio 6. 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Contestar la página 68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student’s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retroalimentación de la unidad.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Diccionario en línea: Wordreference.com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American </w:t>
            </w:r>
            <w:proofErr w:type="spellStart"/>
            <w:r>
              <w:rPr>
                <w:color w:val="000000"/>
                <w:sz w:val="18"/>
                <w:szCs w:val="18"/>
              </w:rPr>
              <w:t>Download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, Elizabeth Gor</w:t>
            </w:r>
            <w:r>
              <w:rPr>
                <w:color w:val="000000"/>
                <w:sz w:val="18"/>
                <w:szCs w:val="18"/>
              </w:rPr>
              <w:t xml:space="preserve">don, Liz </w:t>
            </w:r>
            <w:proofErr w:type="spellStart"/>
            <w:r>
              <w:rPr>
                <w:color w:val="000000"/>
                <w:sz w:val="18"/>
                <w:szCs w:val="18"/>
              </w:rPr>
              <w:t>Hammond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Philip James, Liz </w:t>
            </w:r>
            <w:proofErr w:type="spellStart"/>
            <w:r>
              <w:rPr>
                <w:color w:val="000000"/>
                <w:sz w:val="18"/>
                <w:szCs w:val="18"/>
              </w:rPr>
              <w:t>Stolls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Hamilton </w:t>
            </w:r>
            <w:proofErr w:type="spellStart"/>
            <w:r>
              <w:rPr>
                <w:color w:val="000000"/>
                <w:sz w:val="18"/>
                <w:szCs w:val="18"/>
              </w:rPr>
              <w:t>House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workbook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Classroom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Whats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app</w:t>
            </w:r>
            <w:proofErr w:type="spellEnd"/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zoom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 los escaneos de las paginas contestadas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Video o mensaje de voz para evidencia de </w:t>
            </w:r>
            <w:proofErr w:type="spellStart"/>
            <w:r>
              <w:rPr>
                <w:color w:val="000000"/>
                <w:sz w:val="18"/>
                <w:szCs w:val="18"/>
              </w:rPr>
              <w:t>speaking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Writing</w:t>
            </w:r>
            <w:proofErr w:type="spellEnd"/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 de entrega: 3 de julio del 2020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SPEAKING: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906DE9" w:rsidRDefault="00844B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906DE9" w:rsidRDefault="00906D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906DE9" w:rsidRDefault="00906DE9"/>
    <w:p w:rsidR="00906DE9" w:rsidRDefault="00906D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</w:rPr>
      </w:pPr>
      <w:bookmarkStart w:id="1" w:name="_gjdgxs" w:colFirst="0" w:colLast="0"/>
      <w:bookmarkEnd w:id="1"/>
    </w:p>
    <w:sectPr w:rsidR="00906DE9">
      <w:headerReference w:type="default" r:id="rId15"/>
      <w:footerReference w:type="default" r:id="rId16"/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07" w:rsidRDefault="00844B07">
      <w:pPr>
        <w:spacing w:after="0" w:line="240" w:lineRule="auto"/>
      </w:pPr>
      <w:r>
        <w:separator/>
      </w:r>
    </w:p>
  </w:endnote>
  <w:endnote w:type="continuationSeparator" w:id="0">
    <w:p w:rsidR="00844B07" w:rsidRDefault="008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E9" w:rsidRDefault="00906D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06DE9" w:rsidRDefault="00906D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07" w:rsidRDefault="00844B07">
      <w:pPr>
        <w:spacing w:after="0" w:line="240" w:lineRule="auto"/>
      </w:pPr>
      <w:r>
        <w:separator/>
      </w:r>
    </w:p>
  </w:footnote>
  <w:footnote w:type="continuationSeparator" w:id="0">
    <w:p w:rsidR="00844B07" w:rsidRDefault="008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E9" w:rsidRDefault="00906DE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33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39"/>
      <w:gridCol w:w="9781"/>
    </w:tblGrid>
    <w:tr w:rsidR="00906DE9">
      <w:trPr>
        <w:trHeight w:val="680"/>
      </w:trPr>
      <w:tc>
        <w:tcPr>
          <w:tcW w:w="3539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906DE9" w:rsidRDefault="00844B0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870897" cy="41068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6DE9" w:rsidRDefault="00844B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Planeación clases en línea </w:t>
          </w:r>
        </w:p>
      </w:tc>
    </w:tr>
  </w:tbl>
  <w:p w:rsidR="00906DE9" w:rsidRDefault="00844B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7" w:eastAsia="7" w:hAnsi="7" w:cs="7"/>
        <w:color w:val="000000"/>
        <w:sz w:val="10"/>
        <w:szCs w:val="10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9"/>
    <w:rsid w:val="000D3E8C"/>
    <w:rsid w:val="00844B07"/>
    <w:rsid w:val="009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FD420-6B20-4EC0-BA52-E762573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future-continuous/" TargetMode="External"/><Relationship Id="rId13" Type="http://schemas.openxmlformats.org/officeDocument/2006/relationships/hyperlink" Target="https://es.liveworksheets.com/worksheets/en/English_as_a_Second_Language_(ESL)/Future_Continuous_or_Future_Perfect/Future_Continuous_and_Future_Perfect_ah22748h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gvid.com/will-or-going-to/" TargetMode="External"/><Relationship Id="rId12" Type="http://schemas.openxmlformats.org/officeDocument/2006/relationships/hyperlink" Target="https://www.youtube.com/watch?v=pK9UPDqY6g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p26O_GvX0I" TargetMode="External"/><Relationship Id="rId11" Type="http://schemas.openxmlformats.org/officeDocument/2006/relationships/hyperlink" Target="https://www.youtube.com/watch?v=P49K58qABb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s.liveworksheets.com/worksheets/en/English_as_a_Second_Language_(ESL)/Future_plans/Will_and_be_going_to_ty262671k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ngvid.com/auxiliary-verb-should/" TargetMode="External"/><Relationship Id="rId14" Type="http://schemas.openxmlformats.org/officeDocument/2006/relationships/hyperlink" Target="https://www.wordhippo.com/what-is/the-verb-for/healt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vera</dc:creator>
  <cp:lastModifiedBy>Martha I</cp:lastModifiedBy>
  <cp:revision>2</cp:revision>
  <dcterms:created xsi:type="dcterms:W3CDTF">2020-05-28T03:53:00Z</dcterms:created>
  <dcterms:modified xsi:type="dcterms:W3CDTF">2020-05-28T03:53:00Z</dcterms:modified>
</cp:coreProperties>
</file>